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59" w:lineRule="auto"/>
        <w:contextualSpacing w:val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Concorso "EAS DAY 201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"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59" w:lineRule="auto"/>
        <w:contextualSpacing w:val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1.0" w:type="dxa"/>
        <w:jc w:val="center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76"/>
        <w:gridCol w:w="4945"/>
        <w:tblGridChange w:id="0">
          <w:tblGrid>
            <w:gridCol w:w="4376"/>
            <w:gridCol w:w="494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ff"/>
                <w:sz w:val="22"/>
                <w:szCs w:val="22"/>
                <w:rtl w:val="0"/>
              </w:rPr>
              <w:t xml:space="preserve">Nome e cognome dell'autore/degli autori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ff"/>
                <w:sz w:val="22"/>
                <w:szCs w:val="22"/>
                <w:rtl w:val="0"/>
              </w:rPr>
              <w:t xml:space="preserve">Indirizzo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ff"/>
                <w:sz w:val="22"/>
                <w:szCs w:val="22"/>
                <w:rtl w:val="0"/>
              </w:rPr>
              <w:t xml:space="preserve">Sezione per la quale si concorre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ff"/>
                <w:sz w:val="22"/>
                <w:szCs w:val="22"/>
                <w:rtl w:val="0"/>
              </w:rPr>
              <w:t xml:space="preserve">Denominazione Istituto (prima e seconda sezione o Università presso la quale si è iscritti (terza sezione)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59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59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59" w:lineRule="auto"/>
        <w:contextualSpacing w:val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Format di progettazione di un Episodio di Apprendimento Situato (EAS)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0"/>
        <w:gridCol w:w="5820"/>
        <w:tblGridChange w:id="0">
          <w:tblGrid>
            <w:gridCol w:w="3540"/>
            <w:gridCol w:w="582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Target (classe)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Discipline coinvolte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Traguardi di sviluppo delle 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cfr. Indicazioni Nazionali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59" w:lineRule="auto"/>
        <w:contextualSpacing w:val="0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0"/>
        <w:gridCol w:w="5805"/>
        <w:tblGridChange w:id="0">
          <w:tblGrid>
            <w:gridCol w:w="3540"/>
            <w:gridCol w:w="580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Titolo dell’attività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Prerequisiti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Setting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Strumenti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9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59" w:lineRule="auto"/>
        <w:contextualSpacing w:val="0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59" w:lineRule="auto"/>
        <w:contextualSpacing w:val="0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0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0"/>
        <w:gridCol w:w="6285"/>
        <w:gridCol w:w="1455"/>
        <w:tblGridChange w:id="0">
          <w:tblGrid>
            <w:gridCol w:w="1590"/>
            <w:gridCol w:w="6285"/>
            <w:gridCol w:w="1455"/>
          </w:tblGrid>
        </w:tblGridChange>
      </w:tblGrid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Progettazione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Tempo assegnato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Preparatoria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firstLine="0"/>
              <w:contextualSpacing w:val="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Operatoria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Ristrutturativa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59" w:lineRule="auto"/>
        <w:contextualSpacing w:val="0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15.0" w:type="dxa"/>
        <w:jc w:val="center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7755"/>
        <w:tblGridChange w:id="0">
          <w:tblGrid>
            <w:gridCol w:w="1560"/>
            <w:gridCol w:w="77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Modalità e strumenti della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59" w:lineRule="auto"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59" w:lineRule="auto"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59" w:lineRule="auto"/>
        <w:contextualSpacing w:val="0"/>
        <w:rPr>
          <w:rFonts w:ascii="Arial" w:cs="Arial" w:eastAsia="Arial" w:hAnsi="Arial"/>
          <w:b w:val="0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u w:val="single"/>
          <w:rtl w:val="0"/>
        </w:rPr>
        <w:t xml:space="preserve">Allegare alla progettazione tutti i materiali di supporto prodotti, inserendo i riferimenti agli stessi nella progettazione.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200" w:line="276" w:lineRule="auto"/>
    </w:pPr>
    <w:rPr>
      <w:rFonts w:ascii="Trebuchet MS" w:cs="Trebuchet MS" w:eastAsia="Trebuchet MS" w:hAnsi="Trebuchet MS"/>
      <w:b w:val="0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200" w:line="276" w:lineRule="auto"/>
    </w:pPr>
    <w:rPr>
      <w:rFonts w:ascii="Trebuchet MS" w:cs="Trebuchet MS" w:eastAsia="Trebuchet MS" w:hAnsi="Trebuchet MS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before="160" w:line="276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="276" w:lineRule="auto"/>
    </w:pPr>
    <w:rPr>
      <w:rFonts w:ascii="Trebuchet MS" w:cs="Trebuchet MS" w:eastAsia="Trebuchet MS" w:hAnsi="Trebuchet MS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0" w:before="0" w:line="276" w:lineRule="auto"/>
    </w:pPr>
    <w:rPr>
      <w:rFonts w:ascii="Trebuchet MS" w:cs="Trebuchet MS" w:eastAsia="Trebuchet MS" w:hAnsi="Trebuchet MS"/>
      <w:b w:val="0"/>
      <w:color w:val="000000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200" w:before="0" w:line="276" w:lineRule="auto"/>
    </w:pPr>
    <w:rPr>
      <w:rFonts w:ascii="Trebuchet MS" w:cs="Trebuchet MS" w:eastAsia="Trebuchet MS" w:hAnsi="Trebuchet MS"/>
      <w:b w:val="0"/>
      <w:i w:val="1"/>
      <w:color w:val="666666"/>
      <w:sz w:val="26"/>
      <w:szCs w:val="26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